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jpeg" ContentType="image/jpeg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1111"/>
        <w:tblpPr w:bottomFromText="0" w:horzAnchor="margin" w:leftFromText="180" w:rightFromText="180" w:tblpX="0" w:tblpY="316" w:topFromText="0" w:vertAnchor="text"/>
        <w:tblW w:w="8925" w:type="dxa"/>
        <w:jc w:val="left"/>
        <w:tblInd w:w="108" w:type="dxa"/>
        <w:tblCellMar>
          <w:top w:w="57" w:type="dxa"/>
          <w:left w:w="108" w:type="dxa"/>
          <w:bottom w:w="57" w:type="dxa"/>
          <w:right w:w="108" w:type="dxa"/>
        </w:tblCellMar>
        <w:tblLook w:noVBand="1" w:val="04a0" w:noHBand="0" w:lastColumn="0" w:firstColumn="1" w:lastRow="0" w:firstRow="1"/>
      </w:tblPr>
      <w:tblGrid>
        <w:gridCol w:w="2125"/>
        <w:gridCol w:w="848"/>
        <w:gridCol w:w="567"/>
        <w:gridCol w:w="1244"/>
        <w:gridCol w:w="315"/>
        <w:gridCol w:w="1103"/>
        <w:gridCol w:w="1"/>
        <w:gridCol w:w="1021"/>
        <w:gridCol w:w="1"/>
        <w:gridCol w:w="850"/>
        <w:gridCol w:w="849"/>
      </w:tblGrid>
      <w:tr>
        <w:trPr>
          <w:trHeight w:val="642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/>
              <w:drawing>
                <wp:inline distT="0" distB="0" distL="0" distR="0">
                  <wp:extent cx="1104900" cy="440055"/>
                  <wp:effectExtent l="0" t="0" r="0" b="0"/>
                  <wp:docPr id="1" name="Picture 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  <w:gridSpan w:val="6"/>
            <w:tcBorders>
              <w:top w:val="nil"/>
              <w:left w:val="nil"/>
              <w:bottom w:val="single" w:sz="8" w:space="0" w:color="000000"/>
              <w:right w:val="nil"/>
              <w:insideH w:val="single" w:sz="8" w:space="0" w:color="000000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8" w:space="0" w:color="000000"/>
              <w:right w:val="nil"/>
              <w:insideH w:val="single" w:sz="8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21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000000" w:themeFill="text1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</w:rPr>
              <w:t>Самопроцена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rFonts w:eastAsia="Calibri" w:cs="Times New Roman"/>
                <w:b/>
              </w:rPr>
              <w:t>Ниво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1244" w:type="dxa"/>
            <w:tcBorders>
              <w:top w:val="single" w:sz="8" w:space="0" w:color="000000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rFonts w:eastAsia="Calibri" w:cs="Times New Roman"/>
                <w:b/>
              </w:rPr>
              <w:t>Поглавље</w:t>
            </w:r>
          </w:p>
        </w:tc>
        <w:tc>
          <w:tcPr>
            <w:tcW w:w="315" w:type="dxa"/>
            <w:tcBorders>
              <w:top w:val="single" w:sz="8" w:space="0" w:color="000000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1103" w:type="dxa"/>
            <w:tcBorders>
              <w:top w:val="single" w:sz="8" w:space="0" w:color="000000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Задатак</w:t>
            </w: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Одељење</w:t>
            </w:r>
          </w:p>
        </w:tc>
      </w:tr>
      <w:tr>
        <w:trPr>
          <w:trHeight w:val="106" w:hRule="atLeast"/>
        </w:trPr>
        <w:tc>
          <w:tcPr>
            <w:tcW w:w="2125" w:type="dxa"/>
            <w:vMerge w:val="continue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</w:rPr>
            </w:r>
          </w:p>
        </w:tc>
        <w:tc>
          <w:tcPr>
            <w:tcW w:w="51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Ученик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  <w:insideH w:val="single" w:sz="8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Датум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</w:tbl>
    <w:p>
      <w:pPr>
        <w:pStyle w:val="Normal"/>
        <w:tabs>
          <w:tab w:val="left" w:pos="1570" w:leader="none"/>
        </w:tabs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3933825</wp:posOffset>
            </wp:positionH>
            <wp:positionV relativeFrom="paragraph">
              <wp:posOffset>51435</wp:posOffset>
            </wp:positionV>
            <wp:extent cx="1895475" cy="266700"/>
            <wp:effectExtent l="0" t="0" r="0" b="0"/>
            <wp:wrapNone/>
            <wp:docPr id="2" name="Pictur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left" w:pos="1570" w:leader="none"/>
        </w:tabs>
        <w:rPr/>
      </w:pPr>
      <w:r>
        <w:rPr/>
      </w:r>
    </w:p>
    <w:p>
      <w:pPr>
        <w:pStyle w:val="Normal"/>
        <w:shd w:val="clear" w:color="auto" w:fill="002060"/>
        <w:jc w:val="center"/>
        <w:rPr>
          <w:b/>
          <w:b/>
        </w:rPr>
      </w:pPr>
      <w:r>
        <w:rPr>
          <w:b/>
        </w:rPr>
        <w:t xml:space="preserve">Ставите знак </w:t>
      </w:r>
      <w:r>
        <w:rPr>
          <w:rFonts w:eastAsia="Wingdings" w:cs="Wingdings" w:ascii="Wingdings" w:hAnsi="Wingdings"/>
          <w:b/>
        </w:rPr>
        <w:t></w:t>
      </w:r>
      <w:r>
        <w:rPr>
          <w:b/>
        </w:rPr>
        <w:t xml:space="preserve"> ако је реченица тачна </w:t>
      </w:r>
    </w:p>
    <w:tbl>
      <w:tblPr>
        <w:tblStyle w:val="TableGrid"/>
        <w:tblW w:w="88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3"/>
        <w:gridCol w:w="636"/>
      </w:tblGrid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Коришћењем блока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Понови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можете да избегнете непотребна понављања.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У </w:t>
            </w:r>
            <w:r>
              <w:rPr>
                <w:lang w:val="sr"/>
              </w:rPr>
              <w:t>команди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Понови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није могуће променити број понављања.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60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У вашем програму команди се извршавају </w:t>
            </w:r>
            <w:r>
              <w:rPr>
                <w:lang w:val="sr"/>
              </w:rPr>
              <w:t>линијски</w:t>
            </w:r>
            <w:r>
              <w:rPr/>
              <w:t>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Блок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Понови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се налази у групи блокова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Остало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>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Није могуће користити негативну вредност као вредност променљиве.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Коришћењем петљи можете да скратите скрипту а задржите исти резултат. 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Петља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Понављај док не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ће да се понавља ако је услов лажан.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У петљи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Понови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број понављања није унапред познат.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60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У команди</w:t>
            </w:r>
            <w:bookmarkStart w:id="0" w:name="_GoBack"/>
            <w:bookmarkEnd w:id="0"/>
            <w:r>
              <w:rPr/>
              <w:t xml:space="preserve">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Понављај док не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број понављања зависи од података у програму. 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lang w:val="sr"/>
              </w:rPr>
              <w:t xml:space="preserve">Блок петље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lang w:val="sr"/>
              </w:rPr>
              <w:t>Понављај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lang w:val="sr"/>
              </w:rPr>
              <w:t xml:space="preserve"> без престанка увек изнова извршава б</w:t>
            </w:r>
            <w:r>
              <w:rPr>
                <w:lang w:val="sr"/>
              </w:rPr>
              <w:t>л</w:t>
            </w:r>
            <w:r>
              <w:rPr>
                <w:lang w:val="sr"/>
              </w:rPr>
              <w:t>ок који се налази унутар ње</w:t>
            </w:r>
            <w:r>
              <w:rPr/>
              <w:t>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Можете да користите блокове петљи да бисте уштедели на времену и простору.  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Док се извршава блок петље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Понављај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није могуће да се прекине извршавање програма.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Блок петље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Понављај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нема испупчење на дну. 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  <w:tr>
        <w:trPr>
          <w:trHeight w:val="442" w:hRule="atLeast"/>
        </w:trPr>
        <w:tc>
          <w:tcPr>
            <w:tcW w:w="8173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Блок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Понављај док не</w:t>
            </w:r>
            <w:r>
              <w:rPr>
                <w:rFonts w:cs="Times New Roman" w:ascii="Times New Roman" w:hAnsi="Times New Roman"/>
              </w:rPr>
              <w:t>”</w:t>
            </w:r>
            <w:r>
              <w:rPr/>
              <w:t xml:space="preserve"> се понавља све док се услов не испуни.</w:t>
            </w:r>
          </w:p>
        </w:tc>
        <w:tc>
          <w:tcPr>
            <w:tcW w:w="6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Wingdings" w:cs="Wingdings" w:ascii="Wingdings" w:hAnsi="Wingdings"/>
              </w:rPr>
              <w:t></w:t>
            </w:r>
          </w:p>
        </w:tc>
      </w:tr>
    </w:tbl>
    <w:p>
      <w:pPr>
        <w:pStyle w:val="Normal"/>
        <w:tabs>
          <w:tab w:val="left" w:pos="1570" w:leader="none"/>
        </w:tabs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797" w:right="1440" w:header="426" w:top="483" w:footer="889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l-G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0fa2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ca0fa2"/>
    <w:rPr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ca0fa2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a0fa2"/>
    <w:rPr>
      <w:rFonts w:ascii="Tahoma" w:hAnsi="Tahoma" w:cs="Tahoma"/>
      <w:sz w:val="16"/>
      <w:szCs w:val="16"/>
      <w:lang w:val="en-US"/>
    </w:rPr>
  </w:style>
  <w:style w:type="character" w:styleId="InternetLink">
    <w:name w:val="Internet 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Calibri" w:cs="Aria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eastAsia="Calibri"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ca0fa2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a0fa2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ae24a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uiPriority w:val="39"/>
    <w:rsid w:val="00d86dc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e27d2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8d51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F590-D7FA-7942-8C79-81D622BE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LibreOffice/6.0.6.2$Linux_X86_64 LibreOffice_project/00m0$Build-2</Application>
  <Pages>1</Pages>
  <Words>204</Words>
  <Characters>977</Characters>
  <CharactersWithSpaces>1166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2018-10-02T22:06:00Z</dcterms:created>
  <dc:creator>Eleni Gioka</dc:creator>
  <dc:description/>
  <dc:language>en-US</dc:language>
  <cp:lastModifiedBy/>
  <cp:lastPrinted>2013-09-02T13:09:00Z</cp:lastPrinted>
  <dcterms:modified xsi:type="dcterms:W3CDTF">2018-11-18T14:17:05Z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